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AA0" w:rsidRDefault="00195AA0" w:rsidP="00195AA0">
      <w:pPr>
        <w:jc w:val="center"/>
        <w:rPr>
          <w:b/>
          <w:color w:val="267E9A"/>
          <w:sz w:val="52"/>
          <w:szCs w:val="52"/>
          <w:u w:val="single"/>
        </w:rPr>
      </w:pPr>
      <w:r>
        <w:rPr>
          <w:b/>
          <w:color w:val="267E9A"/>
          <w:sz w:val="52"/>
          <w:szCs w:val="52"/>
          <w:u w:val="single"/>
        </w:rPr>
        <w:t xml:space="preserve">ANNEXE 8 : </w:t>
      </w:r>
      <w:r w:rsidR="00883012">
        <w:rPr>
          <w:b/>
          <w:color w:val="267E9A"/>
          <w:sz w:val="52"/>
          <w:szCs w:val="52"/>
          <w:u w:val="single"/>
        </w:rPr>
        <w:t>FICHE ACTION</w:t>
      </w:r>
    </w:p>
    <w:p w:rsidR="00883012" w:rsidRDefault="00883012" w:rsidP="00883012">
      <w:pPr>
        <w:jc w:val="both"/>
        <w:rPr>
          <w:color w:val="000000" w:themeColor="text1"/>
          <w:sz w:val="20"/>
          <w:szCs w:val="20"/>
        </w:rPr>
      </w:pPr>
      <w:r>
        <w:rPr>
          <w:color w:val="000000" w:themeColor="text1"/>
          <w:sz w:val="20"/>
          <w:szCs w:val="20"/>
        </w:rPr>
        <w:t xml:space="preserve">Cette fiche action sert d’appel à candidature pour les services qui bénéficient déjà du CPOM dotation qualité et qui souhaitent présenter de nouvelle(s) action(s). Il conviendra de compléter autant de fiches actions que de nouvelles actions proposées et d’en détailler le contenu. </w:t>
      </w:r>
    </w:p>
    <w:p w:rsidR="00195AA0" w:rsidRDefault="00195AA0" w:rsidP="00195AA0">
      <w:pPr>
        <w:rPr>
          <w:color w:val="000000" w:themeColor="text1"/>
          <w:sz w:val="20"/>
          <w:szCs w:val="20"/>
        </w:rPr>
      </w:pPr>
    </w:p>
    <w:p w:rsidR="00195AA0" w:rsidRPr="008A6806" w:rsidRDefault="00195AA0" w:rsidP="00195AA0">
      <w:pPr>
        <w:rPr>
          <w:color w:val="000000" w:themeColor="text1"/>
          <w:sz w:val="20"/>
          <w:szCs w:val="20"/>
        </w:rPr>
      </w:pPr>
    </w:p>
    <w:tbl>
      <w:tblPr>
        <w:tblStyle w:val="Grilledutableau"/>
        <w:tblW w:w="0" w:type="auto"/>
        <w:tblLook w:val="04A0" w:firstRow="1" w:lastRow="0" w:firstColumn="1" w:lastColumn="0" w:noHBand="0" w:noVBand="1"/>
      </w:tblPr>
      <w:tblGrid>
        <w:gridCol w:w="9062"/>
      </w:tblGrid>
      <w:tr w:rsidR="00195AA0" w:rsidTr="00195AA0">
        <w:trPr>
          <w:trHeight w:val="10390"/>
        </w:trPr>
        <w:tc>
          <w:tcPr>
            <w:tcW w:w="9205" w:type="dxa"/>
          </w:tcPr>
          <w:p w:rsidR="00195AA0" w:rsidRPr="00DE20AD" w:rsidRDefault="00195AA0" w:rsidP="008E5217">
            <w:pPr>
              <w:jc w:val="center"/>
              <w:rPr>
                <w:b/>
                <w:sz w:val="28"/>
              </w:rPr>
            </w:pPr>
            <w:r w:rsidRPr="00DE20AD">
              <w:rPr>
                <w:b/>
                <w:sz w:val="28"/>
              </w:rPr>
              <w:t xml:space="preserve">Fiche action </w:t>
            </w:r>
          </w:p>
          <w:p w:rsidR="00195AA0" w:rsidRPr="0040143D" w:rsidRDefault="00195AA0" w:rsidP="008E5217">
            <w:pPr>
              <w:rPr>
                <w:b/>
                <w:color w:val="FF0000"/>
                <w:sz w:val="28"/>
              </w:rPr>
            </w:pPr>
          </w:p>
          <w:p w:rsidR="00195AA0" w:rsidRDefault="00195AA0" w:rsidP="008E5217">
            <w:pPr>
              <w:rPr>
                <w:b/>
                <w:sz w:val="24"/>
              </w:rPr>
            </w:pPr>
          </w:p>
          <w:p w:rsidR="00195AA0" w:rsidRPr="00DE20AD" w:rsidRDefault="00195AA0" w:rsidP="008E5217">
            <w:pPr>
              <w:rPr>
                <w:b/>
                <w:sz w:val="24"/>
              </w:rPr>
            </w:pPr>
            <w:r w:rsidRPr="00DE20AD">
              <w:rPr>
                <w:b/>
                <w:sz w:val="24"/>
              </w:rPr>
              <w:t>Action :</w:t>
            </w:r>
            <w:bookmarkStart w:id="0" w:name="_GoBack"/>
            <w:bookmarkEnd w:id="0"/>
          </w:p>
          <w:p w:rsidR="00195AA0" w:rsidRPr="00DE20AD" w:rsidRDefault="00195AA0" w:rsidP="008E5217">
            <w:pPr>
              <w:rPr>
                <w:b/>
                <w:sz w:val="24"/>
              </w:rPr>
            </w:pPr>
          </w:p>
          <w:p w:rsidR="00195AA0" w:rsidRPr="00DE20AD" w:rsidRDefault="00195AA0" w:rsidP="008E5217">
            <w:pPr>
              <w:rPr>
                <w:b/>
                <w:sz w:val="24"/>
              </w:rPr>
            </w:pPr>
            <w:r w:rsidRPr="00DE20AD">
              <w:rPr>
                <w:b/>
                <w:sz w:val="24"/>
              </w:rPr>
              <w:t>Modalités de mise en œuvre :</w:t>
            </w:r>
          </w:p>
          <w:p w:rsidR="00195AA0" w:rsidRPr="00DE20AD" w:rsidRDefault="00195AA0" w:rsidP="008E5217">
            <w:pPr>
              <w:rPr>
                <w:b/>
                <w:sz w:val="24"/>
              </w:rPr>
            </w:pPr>
          </w:p>
          <w:p w:rsidR="00195AA0" w:rsidRPr="00DE20AD" w:rsidRDefault="00195AA0" w:rsidP="008E5217">
            <w:pPr>
              <w:rPr>
                <w:b/>
                <w:sz w:val="24"/>
              </w:rPr>
            </w:pPr>
            <w:r w:rsidRPr="00DE20AD">
              <w:rPr>
                <w:b/>
                <w:sz w:val="24"/>
              </w:rPr>
              <w:t xml:space="preserve">Délai de réalisation de l’action </w:t>
            </w:r>
            <w:r w:rsidRPr="0003538D">
              <w:rPr>
                <w:i/>
                <w:sz w:val="24"/>
              </w:rPr>
              <w:t>(dont échéances intermédiaires. Préciser les années/dates)</w:t>
            </w:r>
            <w:r w:rsidRPr="00DE20AD">
              <w:rPr>
                <w:b/>
                <w:sz w:val="24"/>
              </w:rPr>
              <w:t> :</w:t>
            </w:r>
          </w:p>
          <w:p w:rsidR="00195AA0" w:rsidRDefault="00195AA0" w:rsidP="008E5217">
            <w:pPr>
              <w:rPr>
                <w:b/>
                <w:sz w:val="24"/>
              </w:rPr>
            </w:pPr>
          </w:p>
          <w:p w:rsidR="00195AA0" w:rsidRPr="00DE20AD" w:rsidRDefault="00195AA0" w:rsidP="008E5217">
            <w:pPr>
              <w:rPr>
                <w:b/>
                <w:sz w:val="24"/>
              </w:rPr>
            </w:pPr>
            <w:r w:rsidRPr="00DE20AD">
              <w:rPr>
                <w:b/>
                <w:sz w:val="24"/>
              </w:rPr>
              <w:t>Indicateur (s) de suivi </w:t>
            </w:r>
            <w:r w:rsidRPr="0003538D">
              <w:rPr>
                <w:i/>
                <w:sz w:val="24"/>
              </w:rPr>
              <w:t>(suivi de la réalisation en œuvre, échéances intermédiaires)</w:t>
            </w:r>
            <w:r w:rsidRPr="0003538D">
              <w:rPr>
                <w:b/>
                <w:i/>
                <w:sz w:val="24"/>
              </w:rPr>
              <w:t xml:space="preserve"> </w:t>
            </w:r>
            <w:r w:rsidRPr="00DE20AD">
              <w:rPr>
                <w:b/>
                <w:sz w:val="24"/>
              </w:rPr>
              <w:t>:</w:t>
            </w:r>
          </w:p>
          <w:p w:rsidR="00195AA0" w:rsidRPr="00DE20AD" w:rsidRDefault="00195AA0" w:rsidP="008E5217">
            <w:pPr>
              <w:rPr>
                <w:b/>
                <w:sz w:val="24"/>
              </w:rPr>
            </w:pPr>
          </w:p>
          <w:p w:rsidR="00195AA0" w:rsidRPr="00DE20AD" w:rsidRDefault="00195AA0" w:rsidP="008E5217">
            <w:pPr>
              <w:rPr>
                <w:b/>
                <w:sz w:val="24"/>
              </w:rPr>
            </w:pPr>
            <w:r w:rsidRPr="00DE20AD">
              <w:rPr>
                <w:b/>
                <w:sz w:val="24"/>
              </w:rPr>
              <w:t>Indicateur (s) de résultat :</w:t>
            </w:r>
          </w:p>
          <w:p w:rsidR="00195AA0" w:rsidRPr="00DE20AD" w:rsidRDefault="00195AA0" w:rsidP="008E5217">
            <w:pPr>
              <w:rPr>
                <w:b/>
                <w:sz w:val="24"/>
              </w:rPr>
            </w:pPr>
          </w:p>
          <w:p w:rsidR="00195AA0" w:rsidRPr="00DE20AD" w:rsidRDefault="00195AA0" w:rsidP="008E5217">
            <w:pPr>
              <w:rPr>
                <w:b/>
                <w:sz w:val="24"/>
              </w:rPr>
            </w:pPr>
            <w:r w:rsidRPr="00DE20AD">
              <w:rPr>
                <w:b/>
                <w:sz w:val="24"/>
              </w:rPr>
              <w:t>Coût de l’action :</w:t>
            </w:r>
          </w:p>
          <w:p w:rsidR="00195AA0" w:rsidRPr="00DE20AD" w:rsidRDefault="00195AA0" w:rsidP="008E5217">
            <w:pPr>
              <w:rPr>
                <w:b/>
                <w:sz w:val="24"/>
              </w:rPr>
            </w:pPr>
          </w:p>
          <w:p w:rsidR="00195AA0" w:rsidRPr="00A14E35" w:rsidRDefault="00195AA0" w:rsidP="008E5217">
            <w:pPr>
              <w:rPr>
                <w:sz w:val="24"/>
              </w:rPr>
            </w:pPr>
            <w:r w:rsidRPr="00DE20AD">
              <w:rPr>
                <w:b/>
                <w:sz w:val="24"/>
              </w:rPr>
              <w:t>Modalités de valorisation de</w:t>
            </w:r>
            <w:r>
              <w:rPr>
                <w:b/>
                <w:sz w:val="24"/>
              </w:rPr>
              <w:t xml:space="preserve"> l’action par le département : </w:t>
            </w:r>
            <w:r w:rsidRPr="00A14E35">
              <w:rPr>
                <w:sz w:val="24"/>
              </w:rPr>
              <w:t>Dotation au réel sur justificatifs.</w:t>
            </w:r>
          </w:p>
          <w:p w:rsidR="00195AA0" w:rsidRPr="00DE20AD" w:rsidRDefault="00195AA0" w:rsidP="008E5217">
            <w:pPr>
              <w:rPr>
                <w:b/>
                <w:sz w:val="24"/>
              </w:rPr>
            </w:pPr>
          </w:p>
          <w:p w:rsidR="00195AA0" w:rsidRPr="00A14E35" w:rsidRDefault="00195AA0" w:rsidP="008E5217">
            <w:pPr>
              <w:rPr>
                <w:b/>
                <w:sz w:val="24"/>
              </w:rPr>
            </w:pPr>
            <w:r w:rsidRPr="00A14E35">
              <w:rPr>
                <w:b/>
                <w:sz w:val="24"/>
              </w:rPr>
              <w:t>Justificatifs :</w:t>
            </w:r>
          </w:p>
          <w:p w:rsidR="00195AA0" w:rsidRDefault="00195AA0" w:rsidP="008E5217">
            <w:pPr>
              <w:rPr>
                <w:b/>
                <w:color w:val="FF0000"/>
                <w:sz w:val="28"/>
              </w:rPr>
            </w:pPr>
          </w:p>
        </w:tc>
      </w:tr>
    </w:tbl>
    <w:p w:rsidR="00504AB3" w:rsidRDefault="00504AB3"/>
    <w:sectPr w:rsidR="00504AB3" w:rsidSect="008A68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AA0"/>
    <w:rsid w:val="00195AA0"/>
    <w:rsid w:val="0045671B"/>
    <w:rsid w:val="00504AB3"/>
    <w:rsid w:val="00883012"/>
    <w:rsid w:val="00DC48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642E"/>
  <w15:chartTrackingRefBased/>
  <w15:docId w15:val="{B73FE804-CB38-4828-9692-3886C164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6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AA0"/>
    <w:pPr>
      <w:spacing w:after="160" w:line="259" w:lineRule="auto"/>
      <w:ind w:left="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95AA0"/>
    <w:pPr>
      <w:ind w:left="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109</Words>
  <Characters>603</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CD03</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PIMENTAO-GRANJO, Elisabete</dc:creator>
  <cp:keywords/>
  <dc:description/>
  <cp:lastModifiedBy>GONTHIER, Agathe</cp:lastModifiedBy>
  <cp:revision>2</cp:revision>
  <dcterms:created xsi:type="dcterms:W3CDTF">2025-10-22T09:28:00Z</dcterms:created>
  <dcterms:modified xsi:type="dcterms:W3CDTF">2025-10-22T12:36:00Z</dcterms:modified>
</cp:coreProperties>
</file>